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9A9" w:rsidRDefault="00060387" w:rsidP="007738D2">
      <w:pPr>
        <w:pStyle w:val="Titre1"/>
        <w:shd w:val="clear" w:color="auto" w:fill="2F5496" w:themeFill="accent5" w:themeFillShade="BF"/>
        <w:ind w:left="-1417" w:right="-1417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²</w:t>
      </w:r>
      <w:r>
        <w:rPr>
          <w:b/>
          <w:color w:val="FFFFFF" w:themeColor="background1"/>
          <w:sz w:val="28"/>
          <w:szCs w:val="28"/>
        </w:rPr>
        <w:tab/>
      </w:r>
      <w:r w:rsidR="00AE601C" w:rsidRPr="007738D2">
        <w:rPr>
          <w:b/>
          <w:color w:val="FFFFFF" w:themeColor="background1"/>
          <w:sz w:val="28"/>
          <w:szCs w:val="28"/>
        </w:rPr>
        <w:t>RE</w:t>
      </w:r>
      <w:r w:rsidR="00DD2091" w:rsidRPr="007738D2">
        <w:rPr>
          <w:b/>
          <w:color w:val="FFFFFF" w:themeColor="background1"/>
          <w:sz w:val="28"/>
          <w:szCs w:val="28"/>
        </w:rPr>
        <w:t>UNION D</w:t>
      </w:r>
      <w:r w:rsidR="00BC69AE">
        <w:rPr>
          <w:b/>
          <w:color w:val="FFFFFF" w:themeColor="background1"/>
          <w:sz w:val="28"/>
          <w:szCs w:val="28"/>
        </w:rPr>
        <w:t>’</w:t>
      </w:r>
      <w:r w:rsidR="00DD2091" w:rsidRPr="007738D2">
        <w:rPr>
          <w:b/>
          <w:color w:val="FFFFFF" w:themeColor="background1"/>
          <w:sz w:val="28"/>
          <w:szCs w:val="28"/>
        </w:rPr>
        <w:t>ECHANGE SECRETARIAT T</w:t>
      </w:r>
      <w:r w:rsidR="00AE601C" w:rsidRPr="007738D2">
        <w:rPr>
          <w:b/>
          <w:color w:val="FFFFFF" w:themeColor="background1"/>
          <w:sz w:val="28"/>
          <w:szCs w:val="28"/>
        </w:rPr>
        <w:t>ECHNIQUE AVEC LES ENTITTES DE L’</w:t>
      </w:r>
      <w:r w:rsidR="00DD2091" w:rsidRPr="007738D2">
        <w:rPr>
          <w:b/>
          <w:color w:val="FFFFFF" w:themeColor="background1"/>
          <w:sz w:val="28"/>
          <w:szCs w:val="28"/>
        </w:rPr>
        <w:t>ETAT</w:t>
      </w:r>
      <w:r w:rsidR="00BC69AE">
        <w:rPr>
          <w:b/>
          <w:color w:val="FFFFFF" w:themeColor="background1"/>
          <w:sz w:val="28"/>
          <w:szCs w:val="28"/>
        </w:rPr>
        <w:t xml:space="preserve"> </w:t>
      </w:r>
    </w:p>
    <w:p w:rsidR="00D22D2E" w:rsidRPr="00D22D2E" w:rsidRDefault="00D22D2E" w:rsidP="00D22D2E">
      <w:pPr>
        <w:pStyle w:val="Titre1"/>
        <w:shd w:val="clear" w:color="auto" w:fill="2F5496" w:themeFill="accent5" w:themeFillShade="BF"/>
        <w:ind w:left="-1417" w:right="-1417"/>
        <w:jc w:val="center"/>
        <w:rPr>
          <w:b/>
          <w:color w:val="FFFFFF" w:themeColor="background1"/>
          <w:sz w:val="28"/>
          <w:szCs w:val="28"/>
        </w:rPr>
      </w:pPr>
      <w:r w:rsidRPr="00D22D2E">
        <w:rPr>
          <w:b/>
          <w:color w:val="FFFFFF" w:themeColor="background1"/>
          <w:sz w:val="28"/>
          <w:szCs w:val="28"/>
        </w:rPr>
        <w:t>Sur « l’intégration de l’ITIE dans les systèmes d’informations gouvernementaux »</w:t>
      </w:r>
    </w:p>
    <w:p w:rsidR="00D22D2E" w:rsidRPr="00D22D2E" w:rsidRDefault="00D22D2E" w:rsidP="00D22D2E"/>
    <w:p w:rsidR="00DD2091" w:rsidRPr="00FD207F" w:rsidRDefault="003F6F30" w:rsidP="00FD207F">
      <w:pPr>
        <w:pStyle w:val="Titre2"/>
        <w:spacing w:line="600" w:lineRule="auto"/>
        <w:rPr>
          <w:b/>
          <w:sz w:val="32"/>
          <w:szCs w:val="32"/>
        </w:rPr>
      </w:pPr>
      <w:r w:rsidRPr="00FD207F">
        <w:rPr>
          <w:b/>
          <w:sz w:val="32"/>
          <w:szCs w:val="32"/>
        </w:rPr>
        <w:t>Introduction</w:t>
      </w:r>
    </w:p>
    <w:p w:rsidR="009902BD" w:rsidRDefault="00BF59AD" w:rsidP="00EE48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>
        <w:rPr>
          <w:rFonts w:ascii="Times New Roman" w:hAnsi="Times New Roman" w:cs="Times New Roman"/>
          <w:sz w:val="26"/>
          <w:szCs w:val="26"/>
        </w:rPr>
        <w:t>L’ITIE étant un cadre d’apprentissage, l</w:t>
      </w:r>
      <w:r w:rsidR="009902BD" w:rsidRPr="00EE4872">
        <w:rPr>
          <w:rFonts w:ascii="Times New Roman" w:hAnsi="Times New Roman" w:cs="Times New Roman"/>
          <w:sz w:val="26"/>
          <w:szCs w:val="26"/>
        </w:rPr>
        <w:t>es pays mettant en œuvre l’ITIE ont acquis</w:t>
      </w:r>
      <w:r w:rsidR="00B714AA">
        <w:rPr>
          <w:rFonts w:ascii="Times New Roman" w:hAnsi="Times New Roman" w:cs="Times New Roman"/>
          <w:sz w:val="26"/>
          <w:szCs w:val="26"/>
        </w:rPr>
        <w:t>,</w:t>
      </w:r>
      <w:r w:rsidR="00C637FE">
        <w:rPr>
          <w:rFonts w:ascii="Times New Roman" w:hAnsi="Times New Roman" w:cs="Times New Roman"/>
          <w:sz w:val="26"/>
          <w:szCs w:val="26"/>
        </w:rPr>
        <w:t xml:space="preserve"> </w:t>
      </w:r>
      <w:r w:rsidR="009902BD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au travers des publications des </w:t>
      </w:r>
      <w:r w:rsidR="00272DFF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Rapport</w:t>
      </w:r>
      <w:r w:rsidR="00B714A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,</w:t>
      </w:r>
      <w:r w:rsidR="00D50B53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 w:rsidR="00B75B57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</w:t>
      </w:r>
      <w:r w:rsidR="00D50B53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es </w:t>
      </w:r>
      <w:r w:rsidR="009902BD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bonnes pratiques </w:t>
      </w:r>
      <w:r w:rsidR="00B75B57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de </w:t>
      </w:r>
      <w:r w:rsidR="00D50B53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transparence</w:t>
      </w:r>
      <w:r w:rsidR="00B75B57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et de</w:t>
      </w:r>
      <w:r w:rsidR="00B714A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g</w:t>
      </w:r>
      <w:r w:rsidR="00B75B57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ouvernance</w:t>
      </w:r>
      <w:r w:rsidR="00B714A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. </w:t>
      </w:r>
      <w:r w:rsidR="00806526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De ce processus</w:t>
      </w:r>
      <w:r w:rsidR="00272DFF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, les pays </w:t>
      </w:r>
      <w:r w:rsidR="00B714A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devraient s’</w:t>
      </w:r>
      <w:r w:rsidR="00272DFF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employer</w:t>
      </w:r>
      <w:r w:rsidR="00B714A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d’avantage à</w:t>
      </w:r>
      <w:r w:rsidR="00272DFF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améliorer et</w:t>
      </w:r>
      <w:r w:rsidR="00C637F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 w:rsidR="00272DFF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à intégrer </w:t>
      </w:r>
      <w:r w:rsidR="002A486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l’expérience</w:t>
      </w:r>
      <w:r w:rsidR="00272DFF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 w:rsidR="002A486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acquise</w:t>
      </w:r>
      <w:r w:rsidR="00272DFF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, </w:t>
      </w:r>
      <w:r w:rsidR="00C637F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dans leurs systèmes gouvernementaux</w:t>
      </w:r>
      <w:r w:rsidR="002A486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et non se</w:t>
      </w:r>
      <w:r w:rsidR="00B714A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limite</w:t>
      </w:r>
      <w:r w:rsidR="00C637F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r</w:t>
      </w:r>
      <w:r w:rsidR="00B714A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 w:rsidR="002A486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à</w:t>
      </w:r>
      <w:r w:rsidR="0069344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 w:rsidR="002A486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publier</w:t>
      </w:r>
      <w:r w:rsidR="00B06FE8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des rapports ITIE, qui du reste </w:t>
      </w:r>
      <w:r w:rsidR="00EE4872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deviennent</w:t>
      </w:r>
      <w:r w:rsidR="00B06FE8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de plus en plus volumineux vu le </w:t>
      </w:r>
      <w:r w:rsidR="00EE4872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nombre</w:t>
      </w:r>
      <w:r w:rsidR="00B06FE8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d’informations toujours croissant que requiert la Norme.</w:t>
      </w:r>
    </w:p>
    <w:p w:rsidR="003F6AF8" w:rsidRDefault="00C637FE" w:rsidP="00EE48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>
        <w:rPr>
          <w:rFonts w:ascii="Times New Roman" w:hAnsi="Times New Roman" w:cs="Times New Roman"/>
          <w:sz w:val="26"/>
          <w:szCs w:val="26"/>
        </w:rPr>
        <w:t xml:space="preserve">A cet effet, </w:t>
      </w:r>
      <w:r w:rsidR="00B75B57" w:rsidRPr="00EE4872">
        <w:rPr>
          <w:rFonts w:ascii="Times New Roman" w:hAnsi="Times New Roman" w:cs="Times New Roman"/>
          <w:sz w:val="26"/>
          <w:szCs w:val="26"/>
        </w:rPr>
        <w:t>Conformément à l’Exigence 7.2 c), les pays mettant en œuvre l’ITIE sont encouragés à divulguer en ligne les revenus et paiements issus du secteur extractif par l’Etat et les entreprises.</w:t>
      </w:r>
      <w:r>
        <w:rPr>
          <w:rFonts w:ascii="Times New Roman" w:hAnsi="Times New Roman" w:cs="Times New Roman"/>
          <w:sz w:val="26"/>
          <w:szCs w:val="26"/>
        </w:rPr>
        <w:t xml:space="preserve"> D</w:t>
      </w:r>
      <w:r w:rsidR="002A486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’où </w:t>
      </w:r>
      <w:r w:rsidR="00B06FE8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l’</w:t>
      </w:r>
      <w:r w:rsidR="00EE4872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Intégration</w:t>
      </w:r>
      <w:r w:rsidR="00B06FE8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de l’ITIE dans les systèmes gouvernementaux</w:t>
      </w:r>
      <w:r w:rsidR="00F55F0F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. </w:t>
      </w:r>
    </w:p>
    <w:p w:rsidR="00B06FE8" w:rsidRPr="00EE4872" w:rsidRDefault="003F6AF8" w:rsidP="00EE48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Les systèmes gouvernementaux autant que les entreprises divulguent déjà des informations dont certaines requises par la Norme, l’idée est donc de voir qu’est ce qui est fait ? Comment l’améliorer en se claquant</w:t>
      </w:r>
      <w:r w:rsidR="002A486A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sur le modèle</w:t>
      </w:r>
      <w:r w:rsidR="00F55F0F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ITIE c</w:t>
      </w:r>
      <w:r w:rsidR="00F55F0F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’est-à-dire</w:t>
      </w:r>
      <w:r w:rsidR="006205A0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divulguer les informations exigées par la Norme, avec le niveau détails requis, en </w:t>
      </w:r>
      <w:r w:rsidR="00FD207F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garantissant</w:t>
      </w:r>
      <w:r w:rsidR="006205A0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la ponctualité,</w:t>
      </w:r>
      <w:r w:rsidR="006205A0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l’exhaustivité et la fiabilité.</w:t>
      </w:r>
    </w:p>
    <w:p w:rsidR="006205A0" w:rsidRPr="00EE4872" w:rsidRDefault="006205A0" w:rsidP="00EE48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C’est à ce titre que l’ITIE-RDC, par le truchement du </w:t>
      </w:r>
      <w:r w:rsidR="00FD207F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Secrétariat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Technique a organisé, le vendredi 11 mai 2018, dans la salle la </w:t>
      </w:r>
      <w:r w:rsidR="00FD207F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Transparence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, une réunion d’échange sur l’intégration de l’ITIE dans les systèmes d’informations gouvernementaux, avec ses point</w:t>
      </w:r>
      <w:r w:rsidR="00BC69A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focaux des  différentes institutions de l’Etat</w:t>
      </w:r>
      <w:r w:rsid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avec qui il a l’habitude de travailler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, à savoir : la DGI, </w:t>
      </w:r>
      <w:r w:rsid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la 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DGRAD, </w:t>
      </w:r>
      <w:r w:rsid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la 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DGDA, </w:t>
      </w:r>
      <w:r w:rsid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le 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CAMI, </w:t>
      </w:r>
      <w:r w:rsid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le 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SGH, </w:t>
      </w:r>
      <w:r w:rsid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la 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CTCPM , </w:t>
      </w:r>
      <w:r w:rsid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la 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BCC, </w:t>
      </w:r>
      <w:r w:rsid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l’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ACE, </w:t>
      </w:r>
      <w:r w:rsid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le 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Ministère du Portefeuille, LE CTR et ce, en vue de voir ensemble la faisabilité de ce projet.</w:t>
      </w:r>
    </w:p>
    <w:p w:rsidR="00687F7A" w:rsidRPr="002D549E" w:rsidRDefault="002D549E" w:rsidP="00EE48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Le débat s’est concentré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sur les</w:t>
      </w:r>
      <w:r w:rsidRPr="002D549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questions suivantes :</w:t>
      </w:r>
    </w:p>
    <w:p w:rsidR="006205A0" w:rsidRPr="00EE4872" w:rsidRDefault="002A24F7" w:rsidP="00EE4872">
      <w:pPr>
        <w:pStyle w:val="Paragraphedeliste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 w:rsidR="00687F7A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P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asser en revue les différentes </w:t>
      </w:r>
      <w:r w:rsidR="00687F7A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informations disponibles, les </w:t>
      </w:r>
      <w:r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politiques et pratiques </w:t>
      </w:r>
      <w:r w:rsidR="00AE0192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en matière de divulgation</w:t>
      </w:r>
      <w:r w:rsidR="00687F7A" w:rsidRPr="00EE4872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des données de chaque institution</w:t>
      </w:r>
      <w:r w:rsidR="0069344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 ;</w:t>
      </w:r>
    </w:p>
    <w:p w:rsidR="00687F7A" w:rsidRPr="00EE4872" w:rsidRDefault="00FD207F" w:rsidP="00EE4872">
      <w:pPr>
        <w:pStyle w:val="Paragraphedeliste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EE4872">
        <w:rPr>
          <w:rFonts w:ascii="Times New Roman" w:eastAsia="Times New Roman" w:hAnsi="Times New Roman" w:cs="Times New Roman"/>
          <w:sz w:val="26"/>
          <w:szCs w:val="26"/>
          <w:lang w:eastAsia="fr-FR"/>
        </w:rPr>
        <w:t>Réfléchir</w:t>
      </w:r>
      <w:r w:rsidR="00687F7A" w:rsidRPr="00EE4872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sur la possibilité de l’intégration de l’ITIE ;</w:t>
      </w:r>
    </w:p>
    <w:p w:rsidR="00687F7A" w:rsidRPr="00EE4872" w:rsidRDefault="00687F7A" w:rsidP="00EE4872">
      <w:pPr>
        <w:pStyle w:val="Paragraphedeliste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EE4872">
        <w:rPr>
          <w:rFonts w:ascii="Times New Roman" w:eastAsia="Times New Roman" w:hAnsi="Times New Roman" w:cs="Times New Roman"/>
          <w:sz w:val="26"/>
          <w:szCs w:val="26"/>
          <w:lang w:eastAsia="fr-FR"/>
        </w:rPr>
        <w:t>Identifier les défis et obstacles  pouvant empêcher cette intégration</w:t>
      </w:r>
      <w:r w:rsidR="00693449">
        <w:rPr>
          <w:rFonts w:ascii="Times New Roman" w:eastAsia="Times New Roman" w:hAnsi="Times New Roman" w:cs="Times New Roman"/>
          <w:sz w:val="26"/>
          <w:szCs w:val="26"/>
          <w:lang w:eastAsia="fr-FR"/>
        </w:rPr>
        <w:t> ;</w:t>
      </w:r>
    </w:p>
    <w:p w:rsidR="00DB7976" w:rsidRDefault="00687F7A" w:rsidP="00EE4872">
      <w:pPr>
        <w:pStyle w:val="Paragraphedeliste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EE4872">
        <w:rPr>
          <w:rFonts w:ascii="Times New Roman" w:eastAsia="Times New Roman" w:hAnsi="Times New Roman" w:cs="Times New Roman"/>
          <w:sz w:val="26"/>
          <w:szCs w:val="26"/>
          <w:lang w:eastAsia="fr-FR"/>
        </w:rPr>
        <w:t>Proposer des solutions pouvant faciliter l’intégration</w:t>
      </w:r>
      <w:r w:rsidR="00693449">
        <w:rPr>
          <w:rFonts w:ascii="Times New Roman" w:eastAsia="Times New Roman" w:hAnsi="Times New Roman" w:cs="Times New Roman"/>
          <w:sz w:val="26"/>
          <w:szCs w:val="26"/>
          <w:lang w:eastAsia="fr-FR"/>
        </w:rPr>
        <w:t>.</w:t>
      </w:r>
    </w:p>
    <w:p w:rsidR="00BC69AE" w:rsidRPr="00B6280B" w:rsidRDefault="00BC69AE" w:rsidP="00BC69AE">
      <w:pPr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</w:p>
    <w:p w:rsidR="00BC69AE" w:rsidRPr="00B6280B" w:rsidRDefault="00BC69AE" w:rsidP="00B6280B">
      <w:pPr>
        <w:spacing w:after="0"/>
        <w:jc w:val="both"/>
        <w:rPr>
          <w:b/>
          <w:color w:val="FFFFFF" w:themeColor="background1"/>
        </w:rPr>
      </w:pPr>
      <w:r w:rsidRPr="00BC69AE">
        <w:rPr>
          <w:b/>
          <w:color w:val="FFFFFF" w:themeColor="background1"/>
        </w:rPr>
        <w:t>Déroulement de la réunion</w:t>
      </w:r>
      <w:r w:rsidRPr="00B6280B">
        <w:rPr>
          <w:b/>
          <w:color w:val="FFFFFF" w:themeColor="background1"/>
        </w:rPr>
        <w:t xml:space="preserve"> </w:t>
      </w:r>
    </w:p>
    <w:p w:rsidR="00FC0A95" w:rsidRDefault="00FC0A95">
      <w:r>
        <w:br w:type="page"/>
      </w:r>
    </w:p>
    <w:p w:rsidR="002D549E" w:rsidRPr="00D22D2E" w:rsidRDefault="002D549E" w:rsidP="00D22D2E">
      <w:pPr>
        <w:pStyle w:val="Titre2"/>
        <w:spacing w:line="600" w:lineRule="auto"/>
        <w:rPr>
          <w:b/>
          <w:sz w:val="32"/>
          <w:szCs w:val="32"/>
        </w:rPr>
      </w:pPr>
      <w:r w:rsidRPr="00D22D2E">
        <w:rPr>
          <w:b/>
          <w:sz w:val="32"/>
          <w:szCs w:val="32"/>
        </w:rPr>
        <w:lastRenderedPageBreak/>
        <w:t xml:space="preserve">Déroulement de la Réunion </w:t>
      </w:r>
    </w:p>
    <w:p w:rsidR="002D549E" w:rsidRDefault="002D549E" w:rsidP="00FC0A9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Après une brève présentation de chaque participant, le </w:t>
      </w:r>
      <w:r w:rsidR="00CD6CF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Secrétariat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Technique</w:t>
      </w:r>
      <w:r w:rsidR="007D22B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, par Mme Sandra,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a fait une brève présentation de</w:t>
      </w:r>
      <w:r w:rsidR="007D22B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l’intégration au sens de l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’ITIE</w:t>
      </w:r>
      <w:r w:rsidR="007D22B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, </w:t>
      </w:r>
      <w:r w:rsidR="00CD6CF9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des défis et des enjeux liés à ce projet.</w:t>
      </w:r>
    </w:p>
    <w:p w:rsidR="00BC69AE" w:rsidRPr="00FC0A95" w:rsidRDefault="00CD6CF9" w:rsidP="00FC0A9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Aussi, 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Mme Indra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, du Secrétariat International a souligné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que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la notion d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’intégration est intimement liée à la validation parce que le validateur ne se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limitera pas 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seulement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à analyser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les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informations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contenues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dans le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rapport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l’ITIE mais aussi celles détenues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et rendues publique</w:t>
      </w:r>
      <w:r w:rsidR="00BC69AE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par les entités de l’</w:t>
      </w:r>
      <w:r w:rsidR="00204D06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Etat et les entreprises privées. Il va évaluer dans quelle mesure l’ITIE a impacté sur les différentes politiques de publication</w:t>
      </w:r>
      <w:r w:rsidR="0097049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des données.</w:t>
      </w:r>
    </w:p>
    <w:p w:rsidR="00BC69AE" w:rsidRPr="00FC0A95" w:rsidRDefault="00BC69AE" w:rsidP="00FC0A9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A titre de rappel, Mme Indra </w:t>
      </w:r>
      <w:r w:rsidR="0097049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a porté</w:t>
      </w: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à l’attention des participants,  les outils généraux adaptés à chaque contexte que le  Secrétariat International a développé qui sont entre autre :</w:t>
      </w:r>
    </w:p>
    <w:p w:rsidR="00BC69AE" w:rsidRPr="00FC0A95" w:rsidRDefault="00BC69AE" w:rsidP="00DF4C59">
      <w:pPr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- le</w:t>
      </w:r>
      <w:r w:rsidR="00060387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</w:t>
      </w: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Terme de Référence : pour les études de faisabilité et,</w:t>
      </w:r>
    </w:p>
    <w:p w:rsidR="00BC69AE" w:rsidRPr="00FC0A95" w:rsidRDefault="00BC69AE" w:rsidP="00DF4C59">
      <w:pPr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- la boîte à outil : pour voir de manière systématique et détailler si oui ou non les informations sont disponibles</w:t>
      </w:r>
      <w:r w:rsidR="005403D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,</w:t>
      </w: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au niveau des désagrégations</w:t>
      </w:r>
      <w:r w:rsidR="005403D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et de fiabilisation </w:t>
      </w: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requis par la Norme </w:t>
      </w:r>
      <w:r w:rsidR="005403D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a</w:t>
      </w: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ux fins de faire une évaluation précise.</w:t>
      </w:r>
    </w:p>
    <w:p w:rsidR="00BC69AE" w:rsidRDefault="00BC69AE" w:rsidP="00BC69A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Concernant la réconciliation financière, elle a fait savoir </w:t>
      </w:r>
      <w:r w:rsidR="005403D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que l’intégration n’exclut pas </w:t>
      </w: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la réconciliation</w:t>
      </w:r>
      <w:r w:rsidR="005403D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de</w:t>
      </w:r>
      <w:r w:rsidR="00060387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</w:t>
      </w:r>
      <w:r w:rsidR="005403DD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déclarations tel qu’exigée par la Norme à</w:t>
      </w: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moins que celle-ci soit déjà intégrée au  sein</w:t>
      </w:r>
      <w:r w:rsidR="00647FAB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des </w:t>
      </w:r>
      <w:r w:rsidR="00647FAB"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standard</w:t>
      </w:r>
      <w:r w:rsidR="00647FAB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s</w:t>
      </w: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des entités.</w:t>
      </w:r>
    </w:p>
    <w:p w:rsidR="007D22BD" w:rsidRDefault="007D22BD" w:rsidP="00BC69A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Après cette intervention, la parole a été remise aux participants pour partager leurs expériences respectives sur la divulgation des données en termes de pratique, de disponibilités des données, du niveau de désagrégation, du format des données…</w:t>
      </w:r>
      <w:r w:rsidR="00EA3401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.</w:t>
      </w:r>
    </w:p>
    <w:p w:rsidR="00EA3401" w:rsidRPr="00FC0A95" w:rsidRDefault="00EA3401" w:rsidP="00BC69A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Ensuite, il a été question de voir ensemble </w:t>
      </w:r>
      <w:r w:rsidR="00C97248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s’il était possible de modifier la pratique en y intégrant les exigences de la Norme ITIE comme le format des données ouvertes. Les participants </w:t>
      </w:r>
      <w:r w:rsidR="00BD79DE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>ont présenté les difficultés majeures</w:t>
      </w:r>
      <w:r w:rsidR="00063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comme le résume</w:t>
      </w:r>
      <w:bookmarkStart w:id="0" w:name="_GoBack"/>
      <w:bookmarkEnd w:id="0"/>
      <w:r w:rsidR="00063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t xml:space="preserve"> le tableau ci-dessous :</w:t>
      </w:r>
    </w:p>
    <w:p w:rsidR="00DB7976" w:rsidRPr="00FC0A95" w:rsidRDefault="00DB7976" w:rsidP="00EE48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</w:pPr>
      <w:r w:rsidRPr="00FC0A95"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br w:type="page"/>
      </w:r>
    </w:p>
    <w:p w:rsidR="00DB7976" w:rsidRPr="00FC0A95" w:rsidRDefault="00DB7976" w:rsidP="00FC0A9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fr-FR"/>
        </w:rPr>
        <w:sectPr w:rsidR="00DB7976" w:rsidRPr="00FC0A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7F7A" w:rsidRDefault="00687F7A" w:rsidP="00687F7A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87F7A" w:rsidRPr="00D22D2E" w:rsidRDefault="003F6F30" w:rsidP="00D22D2E">
      <w:pPr>
        <w:pStyle w:val="Titre2"/>
        <w:spacing w:line="600" w:lineRule="auto"/>
        <w:rPr>
          <w:b/>
          <w:sz w:val="32"/>
          <w:szCs w:val="32"/>
        </w:rPr>
      </w:pPr>
      <w:r w:rsidRPr="00D22D2E">
        <w:rPr>
          <w:b/>
          <w:sz w:val="32"/>
          <w:szCs w:val="32"/>
        </w:rPr>
        <w:t>Condensé</w:t>
      </w:r>
      <w:r w:rsidR="00687F7A" w:rsidRPr="00D22D2E">
        <w:rPr>
          <w:b/>
          <w:sz w:val="32"/>
          <w:szCs w:val="32"/>
        </w:rPr>
        <w:t xml:space="preserve"> des débats</w:t>
      </w:r>
    </w:p>
    <w:p w:rsidR="003F6F30" w:rsidRDefault="003F6F30" w:rsidP="00687F7A">
      <w:pPr>
        <w:pStyle w:val="Paragraphedeliste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14737" w:type="dxa"/>
        <w:tblLayout w:type="fixed"/>
        <w:tblLook w:val="04A0" w:firstRow="1" w:lastRow="0" w:firstColumn="1" w:lastColumn="0" w:noHBand="0" w:noVBand="1"/>
      </w:tblPr>
      <w:tblGrid>
        <w:gridCol w:w="1271"/>
        <w:gridCol w:w="1582"/>
        <w:gridCol w:w="4230"/>
        <w:gridCol w:w="4230"/>
        <w:gridCol w:w="3424"/>
      </w:tblGrid>
      <w:tr w:rsidR="00F5204B" w:rsidTr="00F5204B">
        <w:trPr>
          <w:tblHeader/>
        </w:trPr>
        <w:tc>
          <w:tcPr>
            <w:tcW w:w="1271" w:type="dxa"/>
            <w:shd w:val="clear" w:color="auto" w:fill="1F3864" w:themeFill="accent5" w:themeFillShade="80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Exigences</w:t>
            </w:r>
          </w:p>
        </w:tc>
        <w:tc>
          <w:tcPr>
            <w:tcW w:w="1582" w:type="dxa"/>
            <w:shd w:val="clear" w:color="auto" w:fill="1F3864" w:themeFill="accent5" w:themeFillShade="80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entités</w:t>
            </w:r>
          </w:p>
        </w:tc>
        <w:tc>
          <w:tcPr>
            <w:tcW w:w="4230" w:type="dxa"/>
            <w:shd w:val="clear" w:color="auto" w:fill="1F3864" w:themeFill="accent5" w:themeFillShade="80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Informations disponibles</w:t>
            </w:r>
          </w:p>
        </w:tc>
        <w:tc>
          <w:tcPr>
            <w:tcW w:w="4230" w:type="dxa"/>
            <w:shd w:val="clear" w:color="auto" w:fill="1F3864" w:themeFill="accent5" w:themeFillShade="80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Pratique divulgation</w:t>
            </w:r>
          </w:p>
        </w:tc>
        <w:tc>
          <w:tcPr>
            <w:tcW w:w="3424" w:type="dxa"/>
            <w:shd w:val="clear" w:color="auto" w:fill="1F3864" w:themeFill="accent5" w:themeFillShade="80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Actions proposées</w:t>
            </w:r>
          </w:p>
        </w:tc>
      </w:tr>
      <w:tr w:rsidR="00F5204B" w:rsidTr="00F5204B">
        <w:tc>
          <w:tcPr>
            <w:tcW w:w="1271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,4</w:t>
            </w:r>
            <w:proofErr w:type="gramEnd"/>
          </w:p>
        </w:tc>
        <w:tc>
          <w:tcPr>
            <w:tcW w:w="1582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DGI</w:t>
            </w:r>
          </w:p>
        </w:tc>
        <w:tc>
          <w:tcPr>
            <w:tcW w:w="4230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Recettes d’impôts</w:t>
            </w:r>
          </w:p>
        </w:tc>
        <w:tc>
          <w:tcPr>
            <w:tcW w:w="4230" w:type="dxa"/>
          </w:tcPr>
          <w:p w:rsidR="00F5204B" w:rsidRDefault="00F5204B" w:rsidP="005730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Support</w:t>
            </w:r>
            <w:r w:rsidRPr="007738D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fr-FR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:</w:t>
            </w:r>
          </w:p>
          <w:p w:rsidR="00F5204B" w:rsidRPr="00DB7976" w:rsidRDefault="00F5204B" w:rsidP="00573074">
            <w:pPr>
              <w:rPr>
                <w:rFonts w:ascii="Calibri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Informations disponibles sur le site de la DGI (</w:t>
            </w:r>
            <w:hyperlink r:id="rId5" w:history="1">
              <w:r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Rapports annuels 2010-2013</w:t>
              </w:r>
            </w:hyperlink>
            <w:r w:rsidRPr="00DB7976">
              <w:rPr>
                <w:rFonts w:ascii="Calibri" w:eastAsia="Times New Roman" w:hAnsi="Times New Roman" w:cs="Times New Roman"/>
                <w:lang w:eastAsia="en-GB"/>
              </w:rPr>
              <w:t xml:space="preserve"> </w:t>
            </w:r>
            <w:hyperlink r:id="rId6" w:history="1">
              <w:r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X</w:t>
              </w:r>
            </w:hyperlink>
            <w:r w:rsidRPr="00DB7976">
              <w:rPr>
                <w:rFonts w:ascii="Calibri" w:eastAsia="Times New Roman" w:hAnsi="Times New Roman" w:cs="Times New Roman"/>
                <w:lang w:eastAsia="en-GB"/>
              </w:rPr>
              <w:t>.</w:t>
            </w:r>
          </w:p>
          <w:p w:rsidR="00F5204B" w:rsidRPr="00DB7976" w:rsidRDefault="00063A95" w:rsidP="00573074">
            <w:pPr>
              <w:rPr>
                <w:rFonts w:ascii="Calibri" w:eastAsia="Times New Roman" w:hAnsi="Times New Roman" w:cs="Times New Roman"/>
                <w:lang w:eastAsia="en-GB"/>
              </w:rPr>
            </w:pPr>
            <w:hyperlink r:id="rId7" w:history="1">
              <w:r w:rsidR="00F5204B"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Evolution des recettes fiscales</w:t>
              </w:r>
            </w:hyperlink>
            <w:r w:rsidR="00F5204B" w:rsidRPr="00DB7976">
              <w:rPr>
                <w:rFonts w:ascii="Calibri" w:eastAsia="Times New Roman" w:hAnsi="Times New Roman" w:cs="Times New Roman"/>
                <w:lang w:eastAsia="en-GB"/>
              </w:rPr>
              <w:t>, non d</w:t>
            </w:r>
            <w:r w:rsidR="00F5204B" w:rsidRPr="00DB7976">
              <w:rPr>
                <w:rFonts w:ascii="Calibri" w:eastAsia="Times New Roman" w:hAnsi="Times New Roman" w:cs="Times New Roman"/>
                <w:lang w:eastAsia="en-GB"/>
              </w:rPr>
              <w:t>é</w:t>
            </w:r>
            <w:r w:rsidR="00F5204B" w:rsidRPr="00DB7976">
              <w:rPr>
                <w:rFonts w:ascii="Calibri" w:eastAsia="Times New Roman" w:hAnsi="Times New Roman" w:cs="Times New Roman"/>
                <w:lang w:eastAsia="en-GB"/>
              </w:rPr>
              <w:t>sagr</w:t>
            </w:r>
            <w:r w:rsidR="00F5204B" w:rsidRPr="00DB7976">
              <w:rPr>
                <w:rFonts w:ascii="Calibri" w:eastAsia="Times New Roman" w:hAnsi="Times New Roman" w:cs="Times New Roman"/>
                <w:lang w:eastAsia="en-GB"/>
              </w:rPr>
              <w:t>é</w:t>
            </w:r>
            <w:r w:rsidR="00F5204B" w:rsidRPr="00DB7976">
              <w:rPr>
                <w:rFonts w:ascii="Calibri" w:eastAsia="Times New Roman" w:hAnsi="Times New Roman" w:cs="Times New Roman"/>
                <w:lang w:eastAsia="en-GB"/>
              </w:rPr>
              <w:t>g</w:t>
            </w:r>
            <w:r w:rsidR="00F5204B" w:rsidRPr="00DB7976">
              <w:rPr>
                <w:rFonts w:ascii="Calibri" w:eastAsia="Times New Roman" w:hAnsi="Times New Roman" w:cs="Times New Roman"/>
                <w:lang w:eastAsia="en-GB"/>
              </w:rPr>
              <w:t>é</w:t>
            </w:r>
            <w:r w:rsidR="00F5204B" w:rsidRPr="00DB7976">
              <w:rPr>
                <w:rFonts w:ascii="Calibri" w:eastAsia="Times New Roman" w:hAnsi="Times New Roman" w:cs="Times New Roman"/>
                <w:lang w:eastAsia="en-GB"/>
              </w:rPr>
              <w:t xml:space="preserve">. </w:t>
            </w:r>
          </w:p>
          <w:p w:rsidR="00F5204B" w:rsidRDefault="00063A95" w:rsidP="0057307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8" w:history="1">
              <w:r w:rsidR="00F5204B"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Recettes comptabilis</w:t>
              </w:r>
              <w:r w:rsidR="00F5204B"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é</w:t>
              </w:r>
              <w:r w:rsidR="00F5204B"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es par nature d</w:t>
              </w:r>
              <w:r w:rsidR="00F5204B"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’</w:t>
              </w:r>
              <w:r w:rsidR="00F5204B"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imp</w:t>
              </w:r>
              <w:r w:rsidR="00F5204B"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ô</w:t>
              </w:r>
              <w:r w:rsidR="00F5204B" w:rsidRPr="00DB7976">
                <w:rPr>
                  <w:rFonts w:ascii="Calibri" w:eastAsia="Times New Roman" w:hAnsi="Times New Roman" w:cs="Times New Roman"/>
                  <w:color w:val="0563C1"/>
                  <w:u w:val="single"/>
                  <w:lang w:eastAsia="en-GB"/>
                </w:rPr>
                <w:t>t</w:t>
              </w:r>
            </w:hyperlink>
            <w:r w:rsidR="00F5204B" w:rsidRPr="00DB7976">
              <w:rPr>
                <w:rFonts w:ascii="Calibri" w:eastAsia="Times New Roman" w:hAnsi="Times New Roman" w:cs="Times New Roman"/>
                <w:lang w:eastAsia="en-GB"/>
              </w:rPr>
              <w:t>, jan-avril 2016 et 2011-2015</w:t>
            </w:r>
            <w:r w:rsidR="00F5204B">
              <w:rPr>
                <w:rFonts w:ascii="Calibri" w:eastAsia="Times New Roman" w:hAnsi="Times New Roman" w:cs="Times New Roman"/>
                <w:lang w:eastAsia="en-GB"/>
              </w:rPr>
              <w:t>)</w:t>
            </w:r>
            <w:r w:rsidR="00F5204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présentées par nature d’impôt et par centre d’impôt.</w:t>
            </w:r>
          </w:p>
          <w:p w:rsidR="00F5204B" w:rsidRDefault="00F5204B" w:rsidP="007738D2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Rapports trimestriel semestriel et annuel est envoyés au CTR pour les recettes issues des ressources naturelles (hydrocarbures, Mines et Forêt) ;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Format des données</w:t>
            </w:r>
            <w:r w:rsidRPr="007738D2">
              <w:rPr>
                <w:rFonts w:ascii="Times New Roman" w:eastAsia="Times New Roman" w:hAnsi="Times New Roman" w:cs="Times New Roman"/>
                <w:b/>
                <w:color w:val="BF8F00" w:themeColor="accent4" w:themeShade="BF"/>
                <w:sz w:val="24"/>
                <w:szCs w:val="24"/>
                <w:lang w:eastAsia="fr-FR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: semi ouverte : PDF ;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Fiabilité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: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Les recettes destinées au trésor sont auditées annuellement par l’IGF.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Recettes faisant l’objet d’harmonisation en fin d’année dans une commission interministérielle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24" w:type="dxa"/>
          </w:tcPr>
          <w:p w:rsidR="00F5204B" w:rsidRPr="00F5204B" w:rsidRDefault="00F5204B" w:rsidP="00573074">
            <w:pPr>
              <w:rPr>
                <w:rFonts w:ascii="Times New Roman" w:eastAsia="Times New Roman" w:hAnsi="Times New Roman" w:cs="Times New Roman"/>
                <w:color w:val="BF8F00" w:themeColor="accent4" w:themeShade="BF"/>
                <w:sz w:val="24"/>
                <w:szCs w:val="24"/>
                <w:lang w:eastAsia="fr-FR"/>
              </w:rPr>
            </w:pPr>
            <w:r w:rsidRPr="00F52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t>Se référer à l’autorité de tutelle pour instruction</w:t>
            </w:r>
          </w:p>
        </w:tc>
      </w:tr>
      <w:tr w:rsidR="00F5204B" w:rsidTr="00F5204B">
        <w:tc>
          <w:tcPr>
            <w:tcW w:w="1271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,4</w:t>
            </w:r>
            <w:proofErr w:type="gramEnd"/>
          </w:p>
        </w:tc>
        <w:tc>
          <w:tcPr>
            <w:tcW w:w="1582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DGRAD</w:t>
            </w:r>
          </w:p>
        </w:tc>
        <w:tc>
          <w:tcPr>
            <w:tcW w:w="4230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Recettes des taxes</w:t>
            </w:r>
          </w:p>
        </w:tc>
        <w:tc>
          <w:tcPr>
            <w:tcW w:w="4230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Support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: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Aucune pratique de divulgation des données au sein de la structure ;</w:t>
            </w:r>
          </w:p>
          <w:p w:rsidR="00F5204B" w:rsidRDefault="00F5204B" w:rsidP="0057307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Rapports trimestriel, semestriel et annuel est envoyé au CTR pour les recettes issues des ressources naturelles (hydrocarbures, Mines et Forêt) ;</w:t>
            </w:r>
          </w:p>
          <w:p w:rsidR="00F5204B" w:rsidRDefault="00F5204B" w:rsidP="0057307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F5204B" w:rsidRPr="007738D2" w:rsidRDefault="00F5204B" w:rsidP="0057307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Fiabilité</w:t>
            </w:r>
          </w:p>
          <w:p w:rsidR="00F5204B" w:rsidRDefault="00F5204B" w:rsidP="0057307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Recettes faisant l’objet d’harmonisation en fin d’année</w:t>
            </w:r>
          </w:p>
          <w:p w:rsidR="00F5204B" w:rsidRDefault="00F5204B" w:rsidP="0057307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Les recettes destinées au trésor sont auditées annuellement par l’IGF.</w:t>
            </w:r>
          </w:p>
          <w:p w:rsidR="00F5204B" w:rsidRDefault="00F5204B" w:rsidP="007738D2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Recettes faisant l’objet d’harmonisation en fin d’année par une commission interministérielle</w:t>
            </w:r>
          </w:p>
        </w:tc>
        <w:tc>
          <w:tcPr>
            <w:tcW w:w="3424" w:type="dxa"/>
          </w:tcPr>
          <w:p w:rsidR="00F5204B" w:rsidRPr="007738D2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F52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lastRenderedPageBreak/>
              <w:t>Se référer à l’autorité de tutelle pour instruction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t>.</w:t>
            </w:r>
          </w:p>
        </w:tc>
      </w:tr>
      <w:tr w:rsidR="00F5204B" w:rsidTr="00F5204B">
        <w:tc>
          <w:tcPr>
            <w:tcW w:w="1271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2.1, 4</w:t>
            </w:r>
          </w:p>
        </w:tc>
        <w:tc>
          <w:tcPr>
            <w:tcW w:w="1582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DGDA</w:t>
            </w:r>
          </w:p>
        </w:tc>
        <w:tc>
          <w:tcPr>
            <w:tcW w:w="4230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Recettes de droits et taxes à l’exportation et à l’importation 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230" w:type="dxa"/>
          </w:tcPr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Support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Rapport annuel d’activité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s,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Site web de la douane,  (</w:t>
            </w:r>
            <w:hyperlink r:id="rId9" w:history="1">
              <w:r w:rsidRPr="0074370F">
                <w:rPr>
                  <w:rStyle w:val="Lienhypertexte"/>
                  <w:rFonts w:ascii="Times New Roman" w:eastAsia="Times New Roman" w:hAnsi="Times New Roman" w:cs="Times New Roman"/>
                  <w:color w:val="1A89F9" w:themeColor="hyperlink" w:themeTint="BF"/>
                  <w:sz w:val="24"/>
                  <w:szCs w:val="24"/>
                  <w:lang w:eastAsia="fr-FR"/>
                </w:rPr>
                <w:t>https://www.douane.gouv.cd</w:t>
              </w:r>
            </w:hyperlink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)</w:t>
            </w:r>
          </w:p>
          <w:p w:rsidR="00F5204B" w:rsidRPr="007738D2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Rapports trimestriel, semestriel et annuel est envoyé au CTR pour les recettes issues des ressources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Format des données</w:t>
            </w:r>
          </w:p>
          <w:p w:rsidR="00F5204B" w:rsidRPr="007738D2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Rapport annuel en format 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papier, non disponible sur le site de la douane. Rapport destiné au CTR présenté sous format Excel</w:t>
            </w:r>
          </w:p>
          <w:p w:rsidR="00F5204B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Fiabilité</w:t>
            </w:r>
          </w:p>
          <w:p w:rsidR="00F5204B" w:rsidRDefault="00F5204B" w:rsidP="007738D2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Recettes faisant l’objet d’harmonisation en fin d’année</w:t>
            </w:r>
          </w:p>
          <w:p w:rsidR="00F5204B" w:rsidRDefault="00F5204B" w:rsidP="007738D2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Les recettes destinées au trésor sont auditées annuellement par l’IGF.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Recettes faisant l’objet d’harmonisation en fin d’année par une commission interministérielle</w:t>
            </w:r>
          </w:p>
        </w:tc>
        <w:tc>
          <w:tcPr>
            <w:tcW w:w="3424" w:type="dxa"/>
          </w:tcPr>
          <w:p w:rsidR="00F5204B" w:rsidRPr="007738D2" w:rsidRDefault="00F5204B" w:rsidP="00687F7A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F52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lastRenderedPageBreak/>
              <w:t>Se référer à l’autorité de tutelle pour instruction</w:t>
            </w:r>
          </w:p>
        </w:tc>
      </w:tr>
      <w:tr w:rsidR="00F5204B" w:rsidTr="00F5204B">
        <w:tc>
          <w:tcPr>
            <w:tcW w:w="1271" w:type="dxa"/>
          </w:tcPr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2.1, 3, 4, 5,6 </w:t>
            </w:r>
          </w:p>
        </w:tc>
        <w:tc>
          <w:tcPr>
            <w:tcW w:w="1582" w:type="dxa"/>
          </w:tcPr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BCC</w:t>
            </w:r>
          </w:p>
        </w:tc>
        <w:tc>
          <w:tcPr>
            <w:tcW w:w="4230" w:type="dxa"/>
          </w:tcPr>
          <w:p w:rsidR="00F5204B" w:rsidRDefault="00F5204B" w:rsidP="00243D3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Plusieurs statistiques sur différents secteurs d’activités ex : </w:t>
            </w:r>
            <w:hyperlink r:id="rId10" w:history="1">
              <w:r w:rsidRPr="0074370F">
                <w:rPr>
                  <w:rStyle w:val="Lienhypertexte"/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http://www.bcc.cd/downloads/pub/condinfostat/Cond_Info_Stat_16_2018.pdf</w:t>
              </w:r>
            </w:hyperlink>
          </w:p>
          <w:p w:rsidR="00F5204B" w:rsidRDefault="00F5204B" w:rsidP="00243D3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230" w:type="dxa"/>
          </w:tcPr>
          <w:p w:rsidR="00F5204B" w:rsidRPr="00243D34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243D34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Support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Rapport annuel 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Site web de la BCC (</w:t>
            </w:r>
            <w:hyperlink r:id="rId11" w:history="1">
              <w:r w:rsidRPr="0074370F">
                <w:rPr>
                  <w:rStyle w:val="Lienhypertexte"/>
                  <w:rFonts w:ascii="Times New Roman" w:eastAsia="Times New Roman" w:hAnsi="Times New Roman" w:cs="Times New Roman"/>
                  <w:sz w:val="24"/>
                  <w:szCs w:val="24"/>
                  <w:lang w:eastAsia="fr-FR"/>
                </w:rPr>
                <w:t>http://www.bcc.cd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)</w:t>
            </w:r>
          </w:p>
          <w:p w:rsidR="00F5204B" w:rsidRPr="00243D34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243D34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Format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Format semi ouverte (PDF)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43D34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Fiabilité</w:t>
            </w:r>
          </w:p>
        </w:tc>
        <w:tc>
          <w:tcPr>
            <w:tcW w:w="3424" w:type="dxa"/>
          </w:tcPr>
          <w:p w:rsidR="00F5204B" w:rsidRPr="00243D34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</w:p>
        </w:tc>
      </w:tr>
      <w:tr w:rsidR="00F5204B" w:rsidTr="00F5204B">
        <w:tc>
          <w:tcPr>
            <w:tcW w:w="1271" w:type="dxa"/>
          </w:tcPr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2.1, 3, 4 </w:t>
            </w:r>
          </w:p>
        </w:tc>
        <w:tc>
          <w:tcPr>
            <w:tcW w:w="1582" w:type="dxa"/>
          </w:tcPr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SGH</w:t>
            </w:r>
          </w:p>
        </w:tc>
        <w:tc>
          <w:tcPr>
            <w:tcW w:w="4230" w:type="dxa"/>
          </w:tcPr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Contrats pétroliers, recettes perçues partenariat, registre pétrolier, données géologiques…</w:t>
            </w:r>
          </w:p>
        </w:tc>
        <w:tc>
          <w:tcPr>
            <w:tcW w:w="4230" w:type="dxa"/>
          </w:tcPr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Support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Rapport annuel d’activité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 non disponible en ligne,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Site du ministère des mines et de l’ITIE publient les contrats pétroliers,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Site web du ministère des hydro non mise à jour,  (</w:t>
            </w:r>
            <w:hyperlink r:id="rId12" w:history="1">
              <w:r w:rsidRPr="0074370F">
                <w:rPr>
                  <w:rStyle w:val="Lienhypertexte"/>
                  <w:rFonts w:ascii="Times New Roman" w:eastAsia="Times New Roman" w:hAnsi="Times New Roman" w:cs="Times New Roman"/>
                  <w:color w:val="1A89F9" w:themeColor="hyperlink" w:themeTint="BF"/>
                  <w:sz w:val="24"/>
                  <w:szCs w:val="24"/>
                  <w:lang w:eastAsia="fr-FR"/>
                </w:rPr>
                <w:t>http://www.hydrocarbures.gouv.cd</w:t>
              </w:r>
            </w:hyperlink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)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Format des données</w:t>
            </w:r>
          </w:p>
          <w:p w:rsidR="00F5204B" w:rsidRPr="007738D2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Rapport annuel en format 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papier, non disponible sur le site du ministère. 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Fiabilité</w:t>
            </w:r>
          </w:p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424" w:type="dxa"/>
          </w:tcPr>
          <w:p w:rsidR="00F5204B" w:rsidRPr="00F5204B" w:rsidRDefault="00BC5EF4" w:rsidP="00BC5EF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BF8F00" w:themeColor="accent4" w:themeShade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t xml:space="preserve">Besoin </w:t>
            </w:r>
            <w:r w:rsidR="00F5204B" w:rsidRPr="00F52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t>de financement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t xml:space="preserve"> pour un site web</w:t>
            </w:r>
          </w:p>
        </w:tc>
      </w:tr>
      <w:tr w:rsidR="00F5204B" w:rsidTr="00F5204B">
        <w:tc>
          <w:tcPr>
            <w:tcW w:w="1271" w:type="dxa"/>
          </w:tcPr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2.2, 2.1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,2.3,2.5</w:t>
            </w:r>
            <w:proofErr w:type="gramEnd"/>
          </w:p>
        </w:tc>
        <w:tc>
          <w:tcPr>
            <w:tcW w:w="1582" w:type="dxa"/>
          </w:tcPr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CAMI/Ministères des Mines</w:t>
            </w:r>
          </w:p>
        </w:tc>
        <w:tc>
          <w:tcPr>
            <w:tcW w:w="4230" w:type="dxa"/>
          </w:tcPr>
          <w:p w:rsidR="00F5204B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Registre des opérateurs miniers, registre des titres</w:t>
            </w:r>
          </w:p>
        </w:tc>
        <w:tc>
          <w:tcPr>
            <w:tcW w:w="4230" w:type="dxa"/>
          </w:tcPr>
          <w:p w:rsidR="00F5204B" w:rsidRDefault="00F5204B" w:rsidP="000D67D7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Support</w:t>
            </w:r>
          </w:p>
          <w:p w:rsidR="00F5204B" w:rsidRDefault="00F5204B" w:rsidP="000D67D7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Site web du CAMI en construction (</w:t>
            </w:r>
            <w:hyperlink r:id="rId13" w:history="1">
              <w:r w:rsidRPr="0074370F">
                <w:rPr>
                  <w:rStyle w:val="Lienhypertexte"/>
                  <w:rFonts w:ascii="Times New Roman" w:eastAsia="Times New Roman" w:hAnsi="Times New Roman" w:cs="Times New Roman"/>
                  <w:color w:val="1A89F9" w:themeColor="hyperlink" w:themeTint="BF"/>
                  <w:sz w:val="24"/>
                  <w:szCs w:val="24"/>
                  <w:lang w:eastAsia="fr-FR"/>
                </w:rPr>
                <w:t>https://cadastreminit.wixsite.com/cami</w:t>
              </w:r>
            </w:hyperlink>
          </w:p>
          <w:p w:rsidR="00F5204B" w:rsidRDefault="00F5204B" w:rsidP="000D67D7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)</w:t>
            </w:r>
          </w:p>
          <w:p w:rsidR="00F5204B" w:rsidRDefault="00F5204B" w:rsidP="000D67D7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Rapport annuel </w:t>
            </w:r>
          </w:p>
          <w:p w:rsidR="00F5204B" w:rsidRDefault="00F5204B" w:rsidP="000D67D7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Format des données</w:t>
            </w:r>
          </w:p>
          <w:p w:rsidR="00F5204B" w:rsidRPr="007738D2" w:rsidRDefault="00F5204B" w:rsidP="000D67D7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Rapport annuel en format 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papier, non disponible sur le site de CAMI. </w:t>
            </w:r>
          </w:p>
          <w:p w:rsidR="00F5204B" w:rsidRDefault="00F5204B" w:rsidP="000D67D7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Fiabilité</w:t>
            </w:r>
          </w:p>
          <w:p w:rsidR="00F5204B" w:rsidRPr="007738D2" w:rsidRDefault="00F5204B" w:rsidP="00302AAF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3424" w:type="dxa"/>
          </w:tcPr>
          <w:p w:rsidR="00F5204B" w:rsidRPr="00F5204B" w:rsidRDefault="00F5204B" w:rsidP="000D67D7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BF8F00" w:themeColor="accent4" w:themeShade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lastRenderedPageBreak/>
              <w:t xml:space="preserve"> </w:t>
            </w:r>
            <w:r w:rsidRPr="00F5204B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t>Site en construction, disposer à travailler avec l’ITIE</w:t>
            </w:r>
          </w:p>
        </w:tc>
      </w:tr>
      <w:tr w:rsidR="00F5204B" w:rsidTr="00F5204B">
        <w:tc>
          <w:tcPr>
            <w:tcW w:w="1271" w:type="dxa"/>
          </w:tcPr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2.2, 2.1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,2.3,2.5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, 4,6</w:t>
            </w:r>
          </w:p>
        </w:tc>
        <w:tc>
          <w:tcPr>
            <w:tcW w:w="1582" w:type="dxa"/>
          </w:tcPr>
          <w:p w:rsidR="00F5204B" w:rsidRPr="009B79E3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B79E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CTCPM/Ministère de Mines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230" w:type="dxa"/>
          </w:tcPr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Toute information relative au secteur minier</w:t>
            </w:r>
          </w:p>
        </w:tc>
        <w:tc>
          <w:tcPr>
            <w:tcW w:w="4230" w:type="dxa"/>
          </w:tcPr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Support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Site web du Ministère des Mines (</w:t>
            </w:r>
            <w:hyperlink r:id="rId14" w:history="1">
              <w:r w:rsidRPr="0074370F">
                <w:rPr>
                  <w:rStyle w:val="Lienhypertexte"/>
                  <w:rFonts w:ascii="Times New Roman" w:eastAsia="Times New Roman" w:hAnsi="Times New Roman" w:cs="Times New Roman"/>
                  <w:color w:val="1A89F9" w:themeColor="hyperlink" w:themeTint="BF"/>
                  <w:sz w:val="24"/>
                  <w:szCs w:val="24"/>
                  <w:lang w:eastAsia="fr-FR"/>
                </w:rPr>
                <w:t>https://www.mines-rdc.cd</w:t>
              </w:r>
            </w:hyperlink>
            <w:proofErr w:type="gramStart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)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Site web de la CTCPM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(</w:t>
            </w:r>
            <w:hyperlink r:id="rId15" w:history="1">
              <w:r w:rsidRPr="0074370F">
                <w:rPr>
                  <w:rStyle w:val="Lienhypertexte"/>
                  <w:rFonts w:ascii="Times New Roman" w:eastAsia="Times New Roman" w:hAnsi="Times New Roman" w:cs="Times New Roman"/>
                  <w:color w:val="1A89F9" w:themeColor="hyperlink" w:themeTint="BF"/>
                  <w:sz w:val="24"/>
                  <w:szCs w:val="24"/>
                  <w:lang w:eastAsia="fr-FR"/>
                </w:rPr>
                <w:t>http://ctcpm.cd</w:t>
              </w:r>
            </w:hyperlink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)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Rapport Annuel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Répertoire des opérateurs du secteur des mines et carrières, bulletin statistiques minières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Format des données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Rapport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</w:t>
            </w:r>
            <w:r w:rsidRPr="007738D2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annuel en format 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papier 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Données sur le site en format semi ouverte (PDF), Portail </w:t>
            </w:r>
            <w:proofErr w:type="spellStart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opendata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en construction</w:t>
            </w: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</w:p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Fiabilité</w:t>
            </w:r>
          </w:p>
          <w:p w:rsidR="00F5204B" w:rsidRPr="00F0130A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 w:rsidRPr="00F0130A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Données faisant l’objet d’harmonisation dans une commission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interministérielle</w:t>
            </w:r>
            <w:r w:rsidRPr="00F0130A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d’harmonisation des statistiques</w:t>
            </w:r>
          </w:p>
          <w:p w:rsidR="00F5204B" w:rsidRPr="007738D2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3424" w:type="dxa"/>
          </w:tcPr>
          <w:p w:rsidR="00F5204B" w:rsidRPr="007738D2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</w:p>
        </w:tc>
      </w:tr>
      <w:tr w:rsidR="00F5204B" w:rsidTr="00F5204B">
        <w:tc>
          <w:tcPr>
            <w:tcW w:w="1271" w:type="dxa"/>
          </w:tcPr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B7976">
              <w:rPr>
                <w:rFonts w:ascii="Calibri"/>
              </w:rPr>
              <w:t>2.6, 4.2, 4.5, 6.2</w:t>
            </w:r>
          </w:p>
        </w:tc>
        <w:tc>
          <w:tcPr>
            <w:tcW w:w="1582" w:type="dxa"/>
          </w:tcPr>
          <w:p w:rsidR="00F5204B" w:rsidRDefault="00F5204B" w:rsidP="009B79E3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Ministère du Portefeuille</w:t>
            </w:r>
          </w:p>
        </w:tc>
        <w:tc>
          <w:tcPr>
            <w:tcW w:w="4230" w:type="dxa"/>
          </w:tcPr>
          <w:p w:rsidR="00F5204B" w:rsidRDefault="00F5204B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Calibri"/>
              </w:rPr>
              <w:t>Participation directe et directes, Etats financiers EPE  et toutes autres informations relatives Aux EPE (participations, relation financières…)</w:t>
            </w:r>
          </w:p>
        </w:tc>
        <w:tc>
          <w:tcPr>
            <w:tcW w:w="4230" w:type="dxa"/>
          </w:tcPr>
          <w:p w:rsidR="00F5204B" w:rsidRDefault="00F5204B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Support</w:t>
            </w:r>
          </w:p>
          <w:p w:rsidR="00F5204B" w:rsidRDefault="00F5204B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 w:rsidRPr="00DB7976">
              <w:rPr>
                <w:rFonts w:ascii="Calibri"/>
              </w:rPr>
              <w:t xml:space="preserve">Rapports </w:t>
            </w:r>
            <w:r>
              <w:rPr>
                <w:rFonts w:ascii="Calibri"/>
              </w:rPr>
              <w:t>annuels</w:t>
            </w:r>
            <w:r w:rsidRPr="00DB7976">
              <w:rPr>
                <w:rFonts w:ascii="Calibri"/>
              </w:rPr>
              <w:t xml:space="preserve"> </w:t>
            </w:r>
          </w:p>
          <w:p w:rsidR="00F5204B" w:rsidRDefault="00F5204B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Format des données</w:t>
            </w:r>
          </w:p>
          <w:p w:rsidR="00F5204B" w:rsidRDefault="00F5204B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Rapport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s</w:t>
            </w:r>
            <w:r w:rsidRPr="007738D2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 annuel en format 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 xml:space="preserve">papier, </w:t>
            </w:r>
          </w:p>
          <w:p w:rsidR="00F5204B" w:rsidRDefault="00F5204B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fr-FR"/>
              </w:rPr>
              <w:t>Etats financier en format Papier</w:t>
            </w:r>
          </w:p>
          <w:p w:rsidR="00F5204B" w:rsidRDefault="00F5204B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7738D2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Fiabilité</w:t>
            </w:r>
          </w:p>
          <w:p w:rsidR="00F5204B" w:rsidRPr="007738D2" w:rsidRDefault="00F5204B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3424" w:type="dxa"/>
          </w:tcPr>
          <w:p w:rsidR="00F5204B" w:rsidRDefault="00BC5EF4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</w:pPr>
            <w:r w:rsidRPr="00BC5EF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t>Besoin de Financement pour un site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t>.</w:t>
            </w:r>
          </w:p>
          <w:p w:rsidR="00BC5EF4" w:rsidRPr="00BC5EF4" w:rsidRDefault="00BC5EF4" w:rsidP="00A60759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BF8F00" w:themeColor="accent4" w:themeShade="BF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t>Se référer à l’autorité pour plus d’engagement</w:t>
            </w:r>
          </w:p>
        </w:tc>
      </w:tr>
      <w:tr w:rsidR="00F5204B" w:rsidTr="00F5204B">
        <w:tc>
          <w:tcPr>
            <w:tcW w:w="1271" w:type="dxa"/>
          </w:tcPr>
          <w:p w:rsidR="00F5204B" w:rsidRPr="00DB7976" w:rsidRDefault="00F5204B" w:rsidP="00894263">
            <w:pPr>
              <w:rPr>
                <w:rFonts w:ascii="Calibri"/>
              </w:rPr>
            </w:pPr>
            <w:r w:rsidRPr="00DB7976">
              <w:rPr>
                <w:rFonts w:ascii="Calibri"/>
              </w:rPr>
              <w:t xml:space="preserve">3.1, 4, 4.6, 5.2 </w:t>
            </w:r>
          </w:p>
        </w:tc>
        <w:tc>
          <w:tcPr>
            <w:tcW w:w="1582" w:type="dxa"/>
          </w:tcPr>
          <w:p w:rsidR="00F5204B" w:rsidRPr="00DB7976" w:rsidRDefault="00F5204B" w:rsidP="00894263">
            <w:pPr>
              <w:rPr>
                <w:rFonts w:ascii="Calibri"/>
              </w:rPr>
            </w:pPr>
            <w:r>
              <w:rPr>
                <w:rFonts w:ascii="Calibri"/>
              </w:rPr>
              <w:t>CTR</w:t>
            </w:r>
          </w:p>
        </w:tc>
        <w:tc>
          <w:tcPr>
            <w:tcW w:w="4230" w:type="dxa"/>
          </w:tcPr>
          <w:p w:rsidR="00F5204B" w:rsidRDefault="00F5204B" w:rsidP="00894263">
            <w:pPr>
              <w:rPr>
                <w:rFonts w:ascii="Calibri"/>
              </w:rPr>
            </w:pPr>
            <w:r w:rsidRPr="00DB7976">
              <w:rPr>
                <w:rFonts w:ascii="Calibri"/>
              </w:rPr>
              <w:t>Publication trimestrielle</w:t>
            </w:r>
            <w:r>
              <w:rPr>
                <w:rFonts w:ascii="Calibri"/>
              </w:rPr>
              <w:t xml:space="preserve"> des recettes issues des ressources naturelles (Mines, forêts, </w:t>
            </w:r>
            <w:r>
              <w:rPr>
                <w:rFonts w:ascii="Calibri"/>
              </w:rPr>
              <w:lastRenderedPageBreak/>
              <w:t>artisanat et hydrocarbures). Recettes présentées par nature d’impôt</w:t>
            </w:r>
            <w:r w:rsidRPr="00DB7976">
              <w:rPr>
                <w:rFonts w:ascii="Calibri"/>
              </w:rPr>
              <w:t xml:space="preserve">. </w:t>
            </w:r>
          </w:p>
          <w:p w:rsidR="00F5204B" w:rsidRPr="00DB7976" w:rsidRDefault="00F5204B" w:rsidP="00894263">
            <w:pPr>
              <w:rPr>
                <w:rFonts w:ascii="Calibri"/>
              </w:rPr>
            </w:pPr>
            <w:r>
              <w:rPr>
                <w:rFonts w:ascii="Calibri"/>
              </w:rPr>
              <w:t>Ces informations</w:t>
            </w:r>
            <w:r w:rsidRPr="00DB7976">
              <w:rPr>
                <w:rFonts w:ascii="Calibri"/>
              </w:rPr>
              <w:t xml:space="preserve"> avaient été publiées dans le passé par contribuable</w:t>
            </w:r>
            <w:r>
              <w:rPr>
                <w:rFonts w:ascii="Calibri"/>
              </w:rPr>
              <w:t>s</w:t>
            </w:r>
            <w:r w:rsidRPr="00DB7976">
              <w:rPr>
                <w:rFonts w:ascii="Calibri"/>
              </w:rPr>
              <w:t xml:space="preserve">, mais abandonné depuis. </w:t>
            </w:r>
          </w:p>
          <w:p w:rsidR="00F5204B" w:rsidRPr="00DB7976" w:rsidRDefault="00F5204B" w:rsidP="00894263">
            <w:pPr>
              <w:rPr>
                <w:rFonts w:ascii="Calibri"/>
              </w:rPr>
            </w:pPr>
            <w:r w:rsidRPr="00DB7976">
              <w:rPr>
                <w:rFonts w:ascii="Calibri"/>
              </w:rPr>
              <w:t xml:space="preserve">pourra effectuer ses paiements en ligne. </w:t>
            </w:r>
          </w:p>
          <w:p w:rsidR="00F5204B" w:rsidRPr="00DB7976" w:rsidRDefault="00F5204B" w:rsidP="00894263">
            <w:pPr>
              <w:rPr>
                <w:rFonts w:ascii="Calibri"/>
              </w:rPr>
            </w:pPr>
          </w:p>
        </w:tc>
        <w:tc>
          <w:tcPr>
            <w:tcW w:w="4230" w:type="dxa"/>
          </w:tcPr>
          <w:p w:rsidR="00F5204B" w:rsidRPr="00243D34" w:rsidRDefault="00F5204B" w:rsidP="00243D3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243D34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lastRenderedPageBreak/>
              <w:t>Support</w:t>
            </w:r>
          </w:p>
          <w:p w:rsidR="00F5204B" w:rsidRDefault="00F5204B" w:rsidP="00894263">
            <w:pPr>
              <w:rPr>
                <w:rFonts w:ascii="Calibri"/>
              </w:rPr>
            </w:pPr>
            <w:r>
              <w:rPr>
                <w:rFonts w:ascii="Calibri"/>
              </w:rPr>
              <w:t>Fichiers électroniques des rapports des recettes que les Régies transmettent au CTR</w:t>
            </w:r>
          </w:p>
          <w:p w:rsidR="00F5204B" w:rsidRDefault="00F5204B" w:rsidP="00243D34">
            <w:pPr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Site du ministère des finances (</w:t>
            </w:r>
            <w:r w:rsidRPr="00DB7976">
              <w:rPr>
                <w:rFonts w:ascii="Calibri"/>
              </w:rPr>
              <w:t xml:space="preserve">Ex : </w:t>
            </w:r>
            <w:hyperlink r:id="rId16" w:history="1">
              <w:r w:rsidRPr="00DB7976">
                <w:rPr>
                  <w:rFonts w:ascii="Calibri"/>
                  <w:color w:val="0563C1"/>
                  <w:u w:val="single"/>
                </w:rPr>
                <w:t>communiqué mars 2018</w:t>
              </w:r>
            </w:hyperlink>
            <w:r>
              <w:rPr>
                <w:rFonts w:ascii="Calibri"/>
                <w:color w:val="0563C1"/>
                <w:u w:val="single"/>
              </w:rPr>
              <w:t>)</w:t>
            </w:r>
          </w:p>
          <w:p w:rsidR="00F5204B" w:rsidRDefault="00F5204B" w:rsidP="00894263">
            <w:pPr>
              <w:rPr>
                <w:rFonts w:ascii="Calibri"/>
              </w:rPr>
            </w:pPr>
          </w:p>
          <w:p w:rsidR="00F5204B" w:rsidRPr="00243D34" w:rsidRDefault="00F5204B" w:rsidP="00243D3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</w:pPr>
            <w:r w:rsidRPr="00243D34">
              <w:rPr>
                <w:rFonts w:ascii="Times New Roman" w:eastAsia="Times New Roman" w:hAnsi="Times New Roman" w:cs="Times New Roman"/>
                <w:b/>
                <w:i/>
                <w:color w:val="BF8F00" w:themeColor="accent4" w:themeShade="BF"/>
                <w:sz w:val="24"/>
                <w:szCs w:val="24"/>
                <w:u w:val="single"/>
                <w:lang w:eastAsia="fr-FR"/>
              </w:rPr>
              <w:t>Format</w:t>
            </w:r>
          </w:p>
          <w:p w:rsidR="00F5204B" w:rsidRDefault="00F5204B" w:rsidP="00894263">
            <w:pPr>
              <w:rPr>
                <w:rFonts w:ascii="Calibri"/>
              </w:rPr>
            </w:pPr>
            <w:r>
              <w:rPr>
                <w:rFonts w:ascii="Calibri"/>
              </w:rPr>
              <w:t>Données transmises par les Régies sous formats Excel, mais non disponible sur le site</w:t>
            </w:r>
          </w:p>
          <w:p w:rsidR="00F5204B" w:rsidRDefault="00F5204B" w:rsidP="00243D34">
            <w:pPr>
              <w:pStyle w:val="Paragraphedeliste"/>
              <w:ind w:left="0"/>
              <w:rPr>
                <w:rFonts w:ascii="Calibri"/>
              </w:rPr>
            </w:pPr>
            <w:r>
              <w:rPr>
                <w:rFonts w:ascii="Calibri"/>
              </w:rPr>
              <w:t xml:space="preserve">Données publiées en ligne, mais non </w:t>
            </w:r>
            <w:proofErr w:type="spellStart"/>
            <w:r>
              <w:rPr>
                <w:rFonts w:ascii="Calibri"/>
              </w:rPr>
              <w:t>opendata</w:t>
            </w:r>
            <w:proofErr w:type="spellEnd"/>
          </w:p>
          <w:p w:rsidR="00F5204B" w:rsidRDefault="00F5204B" w:rsidP="00243D34">
            <w:pPr>
              <w:pStyle w:val="Paragraphedeliste"/>
              <w:ind w:left="0"/>
              <w:rPr>
                <w:rFonts w:ascii="Calibri"/>
              </w:rPr>
            </w:pPr>
            <w:r>
              <w:rPr>
                <w:rFonts w:ascii="Calibri"/>
              </w:rPr>
              <w:t>Fiabilité</w:t>
            </w:r>
          </w:p>
          <w:p w:rsidR="00F5204B" w:rsidRDefault="00F5204B" w:rsidP="00243D34">
            <w:pPr>
              <w:pStyle w:val="Paragraphedeliste"/>
              <w:ind w:left="0"/>
              <w:rPr>
                <w:rFonts w:ascii="Calibri"/>
              </w:rPr>
            </w:pPr>
            <w:r>
              <w:rPr>
                <w:rFonts w:ascii="Calibri"/>
              </w:rPr>
              <w:t xml:space="preserve">Données faisant l’objet d’harmonisation, données </w:t>
            </w:r>
          </w:p>
          <w:p w:rsidR="00F5204B" w:rsidRPr="00DB7976" w:rsidRDefault="00F5204B" w:rsidP="00894263">
            <w:pPr>
              <w:rPr>
                <w:rFonts w:ascii="Calibri"/>
              </w:rPr>
            </w:pPr>
            <w:r w:rsidRPr="00DB7976">
              <w:rPr>
                <w:rFonts w:ascii="Calibri"/>
              </w:rPr>
              <w:t xml:space="preserve"> </w:t>
            </w:r>
          </w:p>
        </w:tc>
        <w:tc>
          <w:tcPr>
            <w:tcW w:w="3424" w:type="dxa"/>
          </w:tcPr>
          <w:p w:rsidR="00F5204B" w:rsidRPr="00BC5EF4" w:rsidRDefault="00BC5EF4" w:rsidP="00243D34">
            <w:pPr>
              <w:pStyle w:val="Paragraphedeliste"/>
              <w:ind w:left="0"/>
              <w:rPr>
                <w:rFonts w:ascii="Times New Roman" w:eastAsia="Times New Roman" w:hAnsi="Times New Roman" w:cs="Times New Roman"/>
                <w:color w:val="BF8F00" w:themeColor="accent4" w:themeShade="BF"/>
                <w:sz w:val="24"/>
                <w:szCs w:val="24"/>
                <w:lang w:eastAsia="fr-FR"/>
              </w:rPr>
            </w:pPr>
            <w:r w:rsidRPr="00BC5EF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fr-FR"/>
              </w:rPr>
              <w:lastRenderedPageBreak/>
              <w:t>Disposer à travailler d’avantage  avec l’ITIE</w:t>
            </w:r>
          </w:p>
        </w:tc>
      </w:tr>
    </w:tbl>
    <w:p w:rsidR="00DB7976" w:rsidRPr="00687F7A" w:rsidRDefault="00DB7976" w:rsidP="00687F7A">
      <w:pPr>
        <w:pStyle w:val="Paragraphedeliste"/>
        <w:ind w:left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D2091" w:rsidRDefault="00DD2091"/>
    <w:p w:rsidR="007362DD" w:rsidRDefault="007362DD"/>
    <w:p w:rsidR="007362DD" w:rsidRPr="008A05C0" w:rsidRDefault="007362DD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A05C0">
        <w:rPr>
          <w:sz w:val="28"/>
          <w:szCs w:val="28"/>
        </w:rPr>
        <w:t>Kinshasa le 16 mai 2018</w:t>
      </w:r>
    </w:p>
    <w:p w:rsidR="007362DD" w:rsidRPr="008A05C0" w:rsidRDefault="007362DD" w:rsidP="007362DD">
      <w:pPr>
        <w:ind w:left="10620"/>
        <w:rPr>
          <w:sz w:val="28"/>
          <w:szCs w:val="28"/>
        </w:rPr>
      </w:pPr>
      <w:r w:rsidRPr="008A05C0">
        <w:rPr>
          <w:sz w:val="28"/>
          <w:szCs w:val="28"/>
        </w:rPr>
        <w:t xml:space="preserve">        Sandra KISITA</w:t>
      </w:r>
      <w:r w:rsidR="008A05C0" w:rsidRPr="008A05C0">
        <w:rPr>
          <w:sz w:val="28"/>
          <w:szCs w:val="28"/>
        </w:rPr>
        <w:t xml:space="preserve"> </w:t>
      </w:r>
    </w:p>
    <w:sectPr w:rsidR="007362DD" w:rsidRPr="008A05C0" w:rsidSect="00DB797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A2315D"/>
    <w:multiLevelType w:val="hybridMultilevel"/>
    <w:tmpl w:val="853A9606"/>
    <w:lvl w:ilvl="0" w:tplc="F36E45F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000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D6DC6"/>
    <w:multiLevelType w:val="hybridMultilevel"/>
    <w:tmpl w:val="AD9CDC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91"/>
    <w:rsid w:val="00060387"/>
    <w:rsid w:val="00063A95"/>
    <w:rsid w:val="000D67D7"/>
    <w:rsid w:val="00204D06"/>
    <w:rsid w:val="00243D34"/>
    <w:rsid w:val="00272DFF"/>
    <w:rsid w:val="002A24F7"/>
    <w:rsid w:val="002A486A"/>
    <w:rsid w:val="002A6375"/>
    <w:rsid w:val="002D549E"/>
    <w:rsid w:val="00302AAF"/>
    <w:rsid w:val="00305BB6"/>
    <w:rsid w:val="003D3370"/>
    <w:rsid w:val="003F6AF8"/>
    <w:rsid w:val="003F6F30"/>
    <w:rsid w:val="00526278"/>
    <w:rsid w:val="005403DD"/>
    <w:rsid w:val="00563603"/>
    <w:rsid w:val="00573074"/>
    <w:rsid w:val="006205A0"/>
    <w:rsid w:val="00647FAB"/>
    <w:rsid w:val="00687F7A"/>
    <w:rsid w:val="00693449"/>
    <w:rsid w:val="007362DD"/>
    <w:rsid w:val="0077383A"/>
    <w:rsid w:val="007738D2"/>
    <w:rsid w:val="007B16FD"/>
    <w:rsid w:val="007D22BD"/>
    <w:rsid w:val="00806526"/>
    <w:rsid w:val="00875E7E"/>
    <w:rsid w:val="00885521"/>
    <w:rsid w:val="00894263"/>
    <w:rsid w:val="008A05C0"/>
    <w:rsid w:val="009641CC"/>
    <w:rsid w:val="0097049D"/>
    <w:rsid w:val="009902BD"/>
    <w:rsid w:val="009A059F"/>
    <w:rsid w:val="009B79E3"/>
    <w:rsid w:val="00A60759"/>
    <w:rsid w:val="00AE0192"/>
    <w:rsid w:val="00AE601C"/>
    <w:rsid w:val="00B06FE8"/>
    <w:rsid w:val="00B6280B"/>
    <w:rsid w:val="00B714AA"/>
    <w:rsid w:val="00B75B57"/>
    <w:rsid w:val="00B97842"/>
    <w:rsid w:val="00BC5EF4"/>
    <w:rsid w:val="00BC69AE"/>
    <w:rsid w:val="00BD79DE"/>
    <w:rsid w:val="00BF59AD"/>
    <w:rsid w:val="00C637FE"/>
    <w:rsid w:val="00C97248"/>
    <w:rsid w:val="00CD6CF9"/>
    <w:rsid w:val="00D22D2E"/>
    <w:rsid w:val="00D302CD"/>
    <w:rsid w:val="00D50B53"/>
    <w:rsid w:val="00DB2BC0"/>
    <w:rsid w:val="00DB7976"/>
    <w:rsid w:val="00DD2091"/>
    <w:rsid w:val="00DF4C59"/>
    <w:rsid w:val="00EA3401"/>
    <w:rsid w:val="00EE4872"/>
    <w:rsid w:val="00F0130A"/>
    <w:rsid w:val="00F5204B"/>
    <w:rsid w:val="00F55F0F"/>
    <w:rsid w:val="00FC0A95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59014-FF83-47EF-B844-4377025E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38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F6F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style-span">
    <w:name w:val="apple-style-span"/>
    <w:basedOn w:val="Policepardfaut"/>
    <w:rsid w:val="009902BD"/>
  </w:style>
  <w:style w:type="paragraph" w:styleId="Paragraphedeliste">
    <w:name w:val="List Paragraph"/>
    <w:basedOn w:val="Normal"/>
    <w:uiPriority w:val="34"/>
    <w:qFormat/>
    <w:rsid w:val="00687F7A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39"/>
    <w:rsid w:val="00DB7976"/>
    <w:pPr>
      <w:spacing w:after="0" w:line="240" w:lineRule="auto"/>
    </w:pPr>
    <w:rPr>
      <w:rFonts w:eastAsia="Times New Roman" w:hAnsi="Times New Roman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DB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7738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7738D2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F6F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6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i.gouv.cd/statistiques/niveau-d-execution-du-budget.html" TargetMode="External"/><Relationship Id="rId13" Type="http://schemas.openxmlformats.org/officeDocument/2006/relationships/hyperlink" Target="https://cadastreminit.wixsite.com/cam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gi.gouv.cd/statistiques/evolution-des-recettes.html" TargetMode="External"/><Relationship Id="rId12" Type="http://schemas.openxmlformats.org/officeDocument/2006/relationships/hyperlink" Target="http://www.hydrocarbures.gouv.cd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infinrdc.com/minfin/wp-content/uploads/2018/03/Communiqu%C3%A9-officiel-n%C2%B0002-du-23-mars-201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gi.gouv.cd/statistiques/rapport-d-activites.html" TargetMode="External"/><Relationship Id="rId11" Type="http://schemas.openxmlformats.org/officeDocument/2006/relationships/hyperlink" Target="http://www.bcc.cd" TargetMode="External"/><Relationship Id="rId5" Type="http://schemas.openxmlformats.org/officeDocument/2006/relationships/hyperlink" Target="http://www.dgi.gouv.cd/statistiques/rapport-d-activites.html" TargetMode="External"/><Relationship Id="rId15" Type="http://schemas.openxmlformats.org/officeDocument/2006/relationships/hyperlink" Target="http://ctcpm.cd" TargetMode="External"/><Relationship Id="rId10" Type="http://schemas.openxmlformats.org/officeDocument/2006/relationships/hyperlink" Target="http://www.bcc.cd/downloads/pub/condinfostat/Cond_Info_Stat_16_201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uane.gouv.cd" TargetMode="External"/><Relationship Id="rId14" Type="http://schemas.openxmlformats.org/officeDocument/2006/relationships/hyperlink" Target="https://www.mines-rdc.cd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1517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Secrétariat Technique</cp:lastModifiedBy>
  <cp:revision>7</cp:revision>
  <dcterms:created xsi:type="dcterms:W3CDTF">2018-05-22T13:37:00Z</dcterms:created>
  <dcterms:modified xsi:type="dcterms:W3CDTF">2018-11-29T12:20:00Z</dcterms:modified>
</cp:coreProperties>
</file>